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RE Lesson observation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7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3"/>
        <w:gridCol w:w="7425"/>
        <w:tblGridChange w:id="0">
          <w:tblGrid>
            <w:gridCol w:w="2453"/>
            <w:gridCol w:w="7425"/>
          </w:tblGrid>
        </w:tblGridChange>
      </w:tblGrid>
      <w:tr>
        <w:trPr>
          <w:trHeight w:val="2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Carried out by: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Year group/class: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0"/>
        <w:gridCol w:w="750"/>
        <w:tblGridChange w:id="0">
          <w:tblGrid>
            <w:gridCol w:w="9030"/>
            <w:gridCol w:w="750"/>
          </w:tblGrid>
        </w:tblGridChange>
      </w:tblGrid>
      <w:tr>
        <w:trPr>
          <w:trHeight w:val="70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pStyle w:val="Title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Checklist/Evaluation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pStyle w:val="Title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RAG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environment is tidy, stimulating and supports learning.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Layout of the room is effective.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Lessons are chunked effectively – there is adequate time for practice and challenge.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Time is utilised effectively – sufficient time for peer/self review – opportunity for deeper independent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Teacher subject knowledge is good.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Clear RE objectives.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Previous learning is revisited.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 expectations for behavior, positive attitudes lead to strong progress – Be kind.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variety of questioning pedagogies utilised involving open/closed HOTS, pupil talk and active engagement.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Input is differentiated, so that all ability groups make good progress – evidence of agile teaching is present.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Pupils’ interest is sustained through relevant and interesting tasks.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Teaching professionals contribute actively to learning.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Engagement is high; tasks are engaging and practical where appropriate.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learning evenly divided across weeks?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Teachers explain and model learning well. Exemplars support the modeling of success with high expectations.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Feedback through questioning is clear so that pupils can learn from mistakes and deepen their knowledge.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are cross curricular links to other subject areas.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lesson is prepared and resources used are of high quality, including knowledge organisers, and have been adapted with a clear and thoughtful vision from the teacher.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Teachers are determined that pupils participate actively.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Pupils are eager to know how to improve their learning. They capitalise on opportunities to use feedback, written or oral, to better their understanding.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0"/>
        <w:gridCol w:w="5265"/>
        <w:tblGridChange w:id="0">
          <w:tblGrid>
            <w:gridCol w:w="4620"/>
            <w:gridCol w:w="5265"/>
          </w:tblGrid>
        </w:tblGridChange>
      </w:tblGrid>
      <w:tr>
        <w:tc>
          <w:tcPr>
            <w:shd w:fill="c00000" w:val="clear"/>
          </w:tcPr>
          <w:p w:rsidR="00000000" w:rsidDel="00000000" w:rsidP="00000000" w:rsidRDefault="00000000" w:rsidRPr="00000000" w14:paraId="00000036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WWW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7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EBI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00" w:line="276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rPr>
          <w:rFonts w:ascii="Arial" w:cs="Arial" w:eastAsia="Arial" w:hAnsi="Arial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  <w:t xml:space="preserve">(insert school</w:t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  <w:t xml:space="preserve">logo here)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76" w:lineRule="auto"/>
    </w:pPr>
    <w:rPr>
      <w:rFonts w:ascii="Arial" w:cs="Arial" w:eastAsia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5.0" w:type="dxa"/>
        <w:bottom w:w="113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5.0" w:type="dxa"/>
        <w:bottom w:w="113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15.0" w:type="dxa"/>
        <w:bottom w:w="113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